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9BB" w:rsidRDefault="003639BB">
      <w:pPr>
        <w:spacing w:line="276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:rsidR="00114B66" w:rsidRDefault="00000000">
      <w:pPr>
        <w:spacing w:line="276" w:lineRule="auto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Konopí a věda v Brně již po deváté: regulovaný trh v Česku a terapie bolesti </w:t>
      </w:r>
      <w:r w:rsidR="003639BB">
        <w:rPr>
          <w:rFonts w:ascii="Arial" w:eastAsia="Arial" w:hAnsi="Arial" w:cs="Arial"/>
          <w:b/>
          <w:sz w:val="36"/>
          <w:szCs w:val="36"/>
        </w:rPr>
        <w:t>[TISKOVÁ ZPRÁVA]</w:t>
      </w:r>
    </w:p>
    <w:p w:rsidR="003639BB" w:rsidRDefault="003639B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 brněnském planetáriu se i tento rok sešli přední čeští a zahraniční odborníci na konopí a výzkum. Diskutovali ale o konopné legislativě a využití konopí v medicínské praxi.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Konference pořádaná Mezinárodním centrem klinického výzkumu, společným pracovištěm Fakultní nemocnice u sv. Anny a Lékařské fakulty Masarykovy univerzity, nabídla na tuto problematiku komplexní, a především vědecký pohled. </w:t>
      </w:r>
      <w:r>
        <w:rPr>
          <w:rFonts w:ascii="Arial" w:eastAsia="Arial" w:hAnsi="Arial" w:cs="Arial"/>
          <w:i/>
          <w:sz w:val="22"/>
          <w:szCs w:val="22"/>
        </w:rPr>
        <w:t>„V rámci konference jsme prezentovali nejen rozvoj výzkumu léčebného konopí, ale chtěli jsme i přispět k demytizaci konopí jako takového,“</w:t>
      </w:r>
      <w:r>
        <w:rPr>
          <w:rFonts w:ascii="Arial" w:eastAsia="Arial" w:hAnsi="Arial" w:cs="Arial"/>
          <w:sz w:val="22"/>
          <w:szCs w:val="22"/>
        </w:rPr>
        <w:t xml:space="preserve"> prozradil Václav Trojan, organizátor akce a vedoucí centra Cannabis Facility na Mezinárodním centru klinického výzkumu (ICRC).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„Díky naší účasti jsme měli možnost podpořit a sdílet znalosti v oblasti léčebných a farmaceutických inovací. Podařily se nám navázat kontakty s klíčovými odborníky v oboru a sdílet naše perspektivy na inovace v léčebném konopí,“</w:t>
      </w:r>
      <w:r>
        <w:rPr>
          <w:rFonts w:ascii="Arial" w:eastAsia="Arial" w:hAnsi="Arial" w:cs="Arial"/>
          <w:sz w:val="22"/>
          <w:szCs w:val="22"/>
        </w:rPr>
        <w:t xml:space="preserve"> okomentoval Aleš Hrabák, jeden ze zakladatelů firmy</w:t>
      </w:r>
      <w:hyperlink r:id="rId7">
        <w:r>
          <w:rPr>
            <w:rFonts w:ascii="Arial" w:eastAsia="Arial" w:hAnsi="Arial" w:cs="Arial"/>
            <w:sz w:val="22"/>
            <w:szCs w:val="22"/>
          </w:rPr>
          <w:t xml:space="preserve"> </w:t>
        </w:r>
      </w:hyperlink>
      <w:hyperlink r:id="rId8">
        <w:proofErr w:type="spellStart"/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Zenplanto</w:t>
        </w:r>
        <w:proofErr w:type="spellEnd"/>
      </w:hyperlink>
      <w:r>
        <w:rPr>
          <w:rFonts w:ascii="Arial" w:eastAsia="Arial" w:hAnsi="Arial" w:cs="Arial"/>
          <w:sz w:val="22"/>
          <w:szCs w:val="22"/>
        </w:rPr>
        <w:t>, generálního partnera 9. ročníku konference.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Akreditovaný kurz, novinka brněnských odborníků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 účastníky byl nachystaný nabitý program se špičkovými odborníky z celého světa. Prestižní konference probíhala pod záštitou Ing. Vlastimila </w:t>
      </w:r>
      <w:proofErr w:type="spellStart"/>
      <w:r>
        <w:rPr>
          <w:rFonts w:ascii="Arial" w:eastAsia="Arial" w:hAnsi="Arial" w:cs="Arial"/>
          <w:sz w:val="22"/>
          <w:szCs w:val="22"/>
        </w:rPr>
        <w:t>Vajdáka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ředitele Fakultní nemocnice u sv. Anny v Brně, ten se ujal úvodního slova. 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Novinkou bylo představení nově otevřeného akreditovaného kurzu celoživotního vzdělávání na Masarykově univerzitě „Konopí ve zdraví a nemoci“. Ve spolupráci ICRC a Fakultní nemocnice u sv. Anny se podařilo zorganizovat první ročník kurzu. Ten by měl podpořit především mezioborovou spolupráci. 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Změní se v ČR legislativa? 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Odborníci, jako Lumír Hanuš, chemik a vědec, který izoloval </w:t>
      </w:r>
      <w:proofErr w:type="spellStart"/>
      <w:r>
        <w:rPr>
          <w:rFonts w:ascii="Arial" w:eastAsia="Arial" w:hAnsi="Arial" w:cs="Arial"/>
          <w:sz w:val="22"/>
          <w:szCs w:val="22"/>
        </w:rPr>
        <w:t>anandamid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 Richard Rokyta, neurofyziolog, přinesli své poznatky. Alexandra Šulcová, brněnská farmakoložka, diskutovala o terapeutickém potenciálu CBD. Jindřich Vobořil, národní protidrogový koordinátor, prezentoval plány na změnu konopné legislativy. Přísně regulovaný trh s konopím by podle něj zajistil lepší možnost kontroly i snížení zdravotních rizik. </w:t>
      </w:r>
      <w:r>
        <w:rPr>
          <w:rFonts w:ascii="Arial" w:eastAsia="Arial" w:hAnsi="Arial" w:cs="Arial"/>
          <w:i/>
          <w:sz w:val="22"/>
          <w:szCs w:val="22"/>
        </w:rPr>
        <w:t>„Regulovaný trh ještě v žádném státě nevedl ke zvýšení míry užívání konopí,“</w:t>
      </w:r>
      <w:r>
        <w:rPr>
          <w:rFonts w:ascii="Arial" w:eastAsia="Arial" w:hAnsi="Arial" w:cs="Arial"/>
          <w:sz w:val="22"/>
          <w:szCs w:val="22"/>
        </w:rPr>
        <w:t xml:space="preserve"> upozornil.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Jitka Götzová, ředitelka Odboru bezpečnosti potravin Ministerstva zemědělství ČR, vedla diskusi o CBD a HHC. Na konferenci byla i delegace z Izraele, včetně Ilji </w:t>
      </w:r>
      <w:proofErr w:type="spellStart"/>
      <w:r>
        <w:rPr>
          <w:rFonts w:ascii="Arial" w:eastAsia="Arial" w:hAnsi="Arial" w:cs="Arial"/>
          <w:sz w:val="22"/>
          <w:szCs w:val="22"/>
        </w:rPr>
        <w:t>Reznika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předsedy Mezinárodní asociace pro kanabinoidní léčbu a </w:t>
      </w:r>
      <w:proofErr w:type="spellStart"/>
      <w:r>
        <w:rPr>
          <w:rFonts w:ascii="Arial" w:eastAsia="Arial" w:hAnsi="Arial" w:cs="Arial"/>
          <w:sz w:val="22"/>
          <w:szCs w:val="22"/>
        </w:rPr>
        <w:t>Nirit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Bernsteinové, odbornice na zemědělské inženýrství.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Mezinárodní spolupráce</w:t>
      </w: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Pracoviště Cannabis Facility pod FNUSA-ICRC umožňuje spojení se zahraničními odborníky například i nad tématy středoškolských prací. O jedno z nich podělila studentka Eva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Matěnová z Gymnázia Blansko, která spolupracovala s kolegyněmi z Lékařské univerzity v Gdaňsku. 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Výzkum a vzdělávání jsou ukázkou vyspělé a rozvinuté společnosti. Jejich podpora dává smysl také z pohledu investic do budoucna. Proto firma </w:t>
      </w:r>
      <w:proofErr w:type="spellStart"/>
      <w:r>
        <w:rPr>
          <w:rFonts w:ascii="Arial" w:eastAsia="Arial" w:hAnsi="Arial" w:cs="Arial"/>
          <w:sz w:val="22"/>
          <w:szCs w:val="22"/>
        </w:rPr>
        <w:t>Zenplanto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podporuje vědeckou a výzkumnou výměnu pracoviště Cannabis Facility aktuálně třeba právě s Gdaňskem.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 polskou univerzitou se našim odborníkům podařila navázat unikátní spolupráce. Tamní konopný trh je na svém začátku, proto odborníci pomáhají jak s jeho rozvojem, tak například společně vyvíjejí postupy, jak a kdy stanovovat optimální dobu zralosti rostlin, které jsou pěstovány pro výrobu léčebného konopí.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„Děkujeme všem účastníkům, organizátorům a partnerům za skvělou spolupráci a těšíme se na další setkání příští rok, při jubilejním 10. výročí,“</w:t>
      </w:r>
      <w:r>
        <w:rPr>
          <w:rFonts w:ascii="Arial" w:eastAsia="Arial" w:hAnsi="Arial" w:cs="Arial"/>
          <w:sz w:val="22"/>
          <w:szCs w:val="22"/>
        </w:rPr>
        <w:t xml:space="preserve"> okomentoval závěrem Aleš Hrabák ze </w:t>
      </w:r>
      <w:proofErr w:type="spellStart"/>
      <w:r>
        <w:rPr>
          <w:rFonts w:ascii="Arial" w:eastAsia="Arial" w:hAnsi="Arial" w:cs="Arial"/>
          <w:sz w:val="22"/>
          <w:szCs w:val="22"/>
        </w:rPr>
        <w:t>Zenplanto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114B66" w:rsidRDefault="00000000" w:rsidP="003639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***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Zenplantu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Společnost </w:t>
      </w:r>
      <w:proofErr w:type="spellStart"/>
      <w:r>
        <w:rPr>
          <w:rFonts w:ascii="Arial" w:eastAsia="Arial" w:hAnsi="Arial" w:cs="Arial"/>
          <w:sz w:val="22"/>
          <w:szCs w:val="22"/>
        </w:rPr>
        <w:t>Zenplanto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byla založena v roce 2022. Zaměřujeme se na sektor </w:t>
      </w:r>
      <w:proofErr w:type="spellStart"/>
      <w:r>
        <w:rPr>
          <w:rFonts w:ascii="Arial" w:eastAsia="Arial" w:hAnsi="Arial" w:cs="Arial"/>
          <w:sz w:val="22"/>
          <w:szCs w:val="22"/>
        </w:rPr>
        <w:t>healthcare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konkrétně na produkci zboží a služeb spojených s konopím. Spoluzakladatelem a majitelem majoritního podílu v projektu je investiční fond </w:t>
      </w:r>
      <w:proofErr w:type="spellStart"/>
      <w:r>
        <w:rPr>
          <w:rFonts w:ascii="Arial" w:eastAsia="Arial" w:hAnsi="Arial" w:cs="Arial"/>
          <w:sz w:val="22"/>
          <w:szCs w:val="22"/>
        </w:rPr>
        <w:t>eMan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Innovations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venture kapitálový fond, který se zaměřuje na tuzemské i zahraniční technologické projekty s globálním potenciálem a za kterým stojí technologická společnost </w:t>
      </w:r>
      <w:proofErr w:type="spellStart"/>
      <w:r>
        <w:rPr>
          <w:rFonts w:ascii="Arial" w:eastAsia="Arial" w:hAnsi="Arial" w:cs="Arial"/>
          <w:sz w:val="22"/>
          <w:szCs w:val="22"/>
        </w:rPr>
        <w:t>eMan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Společnost </w:t>
      </w:r>
      <w:proofErr w:type="spellStart"/>
      <w:r>
        <w:rPr>
          <w:rFonts w:ascii="Arial" w:eastAsia="Arial" w:hAnsi="Arial" w:cs="Arial"/>
          <w:sz w:val="22"/>
          <w:szCs w:val="22"/>
        </w:rPr>
        <w:t>eMan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přední český dodavatel softwaru, od roku 2020 jsou její akcie veřejně obchodovány na trhu PX Start na Burze cenných papírů Praha. Více na</w:t>
      </w:r>
      <w:hyperlink r:id="rId9">
        <w:r>
          <w:rPr>
            <w:rFonts w:ascii="Arial" w:eastAsia="Arial" w:hAnsi="Arial" w:cs="Arial"/>
            <w:sz w:val="22"/>
            <w:szCs w:val="22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467886"/>
            <w:sz w:val="22"/>
            <w:szCs w:val="22"/>
            <w:u w:val="single"/>
          </w:rPr>
          <w:t>www.zenplanto.com</w:t>
        </w:r>
      </w:hyperlink>
      <w:r>
        <w:rPr>
          <w:rFonts w:ascii="Arial" w:eastAsia="Arial" w:hAnsi="Arial" w:cs="Arial"/>
          <w:sz w:val="22"/>
          <w:szCs w:val="22"/>
        </w:rPr>
        <w:t xml:space="preserve"> a</w:t>
      </w:r>
      <w:hyperlink r:id="rId11">
        <w:r>
          <w:rPr>
            <w:rFonts w:ascii="Arial" w:eastAsia="Arial" w:hAnsi="Arial" w:cs="Arial"/>
            <w:sz w:val="22"/>
            <w:szCs w:val="22"/>
          </w:rPr>
          <w:t xml:space="preserve"> </w:t>
        </w:r>
      </w:hyperlink>
      <w:hyperlink r:id="rId12">
        <w:r>
          <w:rPr>
            <w:rFonts w:ascii="Arial" w:eastAsia="Arial" w:hAnsi="Arial" w:cs="Arial"/>
            <w:color w:val="467886"/>
            <w:sz w:val="22"/>
            <w:szCs w:val="22"/>
            <w:u w:val="single"/>
          </w:rPr>
          <w:t>www.zenplanto-farms.com</w:t>
        </w:r>
      </w:hyperlink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114B66" w:rsidRDefault="00000000" w:rsidP="003639B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Kontakt pro média: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Renata Faltejsková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67886"/>
          <w:sz w:val="22"/>
          <w:szCs w:val="22"/>
        </w:rPr>
        <w:t>renata.faltejskova@abbba.cz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+420 774 888 900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ABBBA </w:t>
      </w:r>
      <w:proofErr w:type="spellStart"/>
      <w:r>
        <w:rPr>
          <w:rFonts w:ascii="Arial" w:eastAsia="Arial" w:hAnsi="Arial" w:cs="Arial"/>
          <w:sz w:val="22"/>
          <w:szCs w:val="22"/>
        </w:rPr>
        <w:t>Consulting</w:t>
      </w:r>
      <w:proofErr w:type="spellEnd"/>
      <w:r>
        <w:rPr>
          <w:rFonts w:ascii="Arial" w:eastAsia="Arial" w:hAnsi="Arial" w:cs="Arial"/>
          <w:sz w:val="22"/>
          <w:szCs w:val="22"/>
        </w:rPr>
        <w:t>, s.r.o.</w:t>
      </w:r>
    </w:p>
    <w:p w:rsidR="00114B66" w:rsidRDefault="00000000" w:rsidP="003639BB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Nicole Baronová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467886"/>
          <w:sz w:val="22"/>
          <w:szCs w:val="22"/>
        </w:rPr>
        <w:t>nicole.baronova@abbba.cz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+420 776 204 565</w:t>
      </w:r>
    </w:p>
    <w:p w:rsidR="00114B66" w:rsidRDefault="00000000" w:rsidP="003639BB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ABBBA </w:t>
      </w:r>
      <w:proofErr w:type="spellStart"/>
      <w:r>
        <w:rPr>
          <w:rFonts w:ascii="Arial" w:eastAsia="Arial" w:hAnsi="Arial" w:cs="Arial"/>
          <w:sz w:val="22"/>
          <w:szCs w:val="22"/>
        </w:rPr>
        <w:t>Consulting</w:t>
      </w:r>
      <w:proofErr w:type="spellEnd"/>
      <w:r>
        <w:rPr>
          <w:rFonts w:ascii="Arial" w:eastAsia="Arial" w:hAnsi="Arial" w:cs="Arial"/>
          <w:sz w:val="22"/>
          <w:szCs w:val="22"/>
        </w:rPr>
        <w:t>, s.r.o.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:rsidR="00114B66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14B66" w:rsidRDefault="00000000">
      <w:pPr>
        <w:spacing w:line="301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14B66" w:rsidRDefault="00114B66">
      <w:pPr>
        <w:spacing w:line="276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:rsidR="00114B66" w:rsidRDefault="00114B66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114B66">
      <w:headerReference w:type="default" r:id="rId13"/>
      <w:footerReference w:type="default" r:id="rId14"/>
      <w:pgSz w:w="11906" w:h="16838"/>
      <w:pgMar w:top="141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F95" w:rsidRDefault="00E97F95">
      <w:pPr>
        <w:spacing w:after="0" w:line="240" w:lineRule="auto"/>
      </w:pPr>
      <w:r>
        <w:separator/>
      </w:r>
    </w:p>
  </w:endnote>
  <w:endnote w:type="continuationSeparator" w:id="0">
    <w:p w:rsidR="00E97F95" w:rsidRDefault="00E9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B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7E7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B7E7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F95" w:rsidRDefault="00E97F95">
      <w:pPr>
        <w:spacing w:after="0" w:line="240" w:lineRule="auto"/>
      </w:pPr>
      <w:r>
        <w:separator/>
      </w:r>
    </w:p>
  </w:footnote>
  <w:footnote w:type="continuationSeparator" w:id="0">
    <w:p w:rsidR="00E97F95" w:rsidRDefault="00E9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B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-44449</wp:posOffset>
          </wp:positionH>
          <wp:positionV relativeFrom="margin">
            <wp:posOffset>-641446</wp:posOffset>
          </wp:positionV>
          <wp:extent cx="1760855" cy="492125"/>
          <wp:effectExtent l="0" t="0" r="0" b="0"/>
          <wp:wrapSquare wrapText="bothSides" distT="0" distB="0" distL="114300" distR="114300"/>
          <wp:docPr id="4" name="image1.png" descr="Zenpla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enplan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85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TISKOVÁ ZPRÁVA</w:t>
    </w:r>
  </w:p>
  <w:p w:rsidR="00114B66" w:rsidRDefault="00114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66"/>
    <w:rsid w:val="00114B66"/>
    <w:rsid w:val="003639BB"/>
    <w:rsid w:val="00BA5046"/>
    <w:rsid w:val="00E97F95"/>
    <w:rsid w:val="00E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E9537"/>
  <w15:docId w15:val="{F113EE5B-6E05-C843-B831-8128B95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Pr>
      <w:color w:val="595959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B67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7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8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308"/>
  </w:style>
  <w:style w:type="paragraph" w:styleId="Zpat">
    <w:name w:val="footer"/>
    <w:basedOn w:val="Normln"/>
    <w:link w:val="ZpatChar"/>
    <w:uiPriority w:val="99"/>
    <w:unhideWhenUsed/>
    <w:rsid w:val="00283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planto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enplanto.com/" TargetMode="External"/><Relationship Id="rId12" Type="http://schemas.openxmlformats.org/officeDocument/2006/relationships/hyperlink" Target="http://www.zenplanto-farm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enplanto-farm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enplant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enplanto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7spx0oJROUUDB7eEDQp5sOMXHQ==">CgMxLjA4AGonChRzdWdnZXN0Lmc3enNzNGJkcXd0bRIPUGV0ciBQbMOhdGVuw61rciExUW40aUVVS054T2NOeGZaS0xBaGdYWWVpUGptek9rQnA=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2024-05-29T15:45:00Z</dcterms:created>
  <dcterms:modified xsi:type="dcterms:W3CDTF">2024-05-29T15:45:00Z</dcterms:modified>
</cp:coreProperties>
</file>